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125A047A"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3GPP TSG RAN WG2 #</w:t>
      </w:r>
      <w:r w:rsidR="003E41C6" w:rsidRPr="005945FC">
        <w:rPr>
          <w:rFonts w:ascii="Arial" w:hAnsi="Arial" w:cs="Arial"/>
          <w:sz w:val="22"/>
          <w:lang w:val="en-US"/>
        </w:rPr>
        <w:t>12</w:t>
      </w:r>
      <w:r w:rsidR="00514707">
        <w:rPr>
          <w:rFonts w:ascii="Arial" w:hAnsi="Arial" w:cs="Arial"/>
          <w:sz w:val="22"/>
          <w:lang w:val="en-US"/>
        </w:rPr>
        <w:t>3</w:t>
      </w:r>
      <w:r w:rsidR="00D9195A">
        <w:rPr>
          <w:rFonts w:ascii="Arial" w:hAnsi="Arial" w:cs="Arial"/>
          <w:sz w:val="22"/>
          <w:lang w:val="en-US"/>
        </w:rPr>
        <w:t xml:space="preserve"> </w:t>
      </w:r>
      <w:r w:rsidR="00AD183E">
        <w:rPr>
          <w:rFonts w:ascii="Arial" w:hAnsi="Arial" w:cs="Arial"/>
          <w:sz w:val="22"/>
          <w:lang w:val="en-US"/>
        </w:rPr>
        <w:t>Toulouse</w:t>
      </w:r>
      <w:r w:rsidR="00C10ECC" w:rsidRPr="00C10ECC">
        <w:rPr>
          <w:rFonts w:ascii="Arial" w:hAnsi="Arial" w:cs="Arial"/>
          <w:sz w:val="22"/>
          <w:lang w:val="en-US"/>
        </w:rPr>
        <w:t xml:space="preserve">, </w:t>
      </w:r>
      <w:r w:rsidR="00AD183E">
        <w:rPr>
          <w:rFonts w:ascii="Arial" w:hAnsi="Arial" w:cs="Arial"/>
          <w:sz w:val="22"/>
          <w:lang w:val="en-US"/>
        </w:rPr>
        <w:t>France</w:t>
      </w:r>
      <w:r w:rsidRPr="005945FC">
        <w:rPr>
          <w:rFonts w:ascii="Arial" w:hAnsi="Arial" w:cs="Arial"/>
          <w:sz w:val="22"/>
          <w:lang w:val="en-US"/>
        </w:rPr>
        <w:tab/>
      </w:r>
      <w:r w:rsidR="00657446" w:rsidRPr="000D5EA8">
        <w:rPr>
          <w:rFonts w:ascii="Arial" w:hAnsi="Arial" w:cs="Arial"/>
          <w:sz w:val="22"/>
          <w:lang w:val="en-US"/>
        </w:rPr>
        <w:t>R2-230</w:t>
      </w:r>
      <w:r w:rsidR="000D5EA8">
        <w:rPr>
          <w:rFonts w:ascii="Arial" w:eastAsiaTheme="minorEastAsia" w:hAnsi="Arial" w:cs="Arial"/>
          <w:sz w:val="22"/>
          <w:lang w:val="en-US"/>
        </w:rPr>
        <w:t>8314</w:t>
      </w:r>
    </w:p>
    <w:bookmarkEnd w:id="0"/>
    <w:p w14:paraId="350CE1B6" w14:textId="1CEB3620" w:rsidR="00CD4C7B" w:rsidRPr="005945FC" w:rsidRDefault="00AD183E" w:rsidP="00CD4C7B">
      <w:pPr>
        <w:pStyle w:val="a3"/>
        <w:rPr>
          <w:rFonts w:eastAsia="Times New Roman" w:cs="Arial"/>
          <w:noProof w:val="0"/>
          <w:sz w:val="22"/>
          <w:lang w:val="en-US" w:eastAsia="zh-CN"/>
        </w:rPr>
      </w:pPr>
      <w:r>
        <w:rPr>
          <w:rFonts w:eastAsia="Times New Roman" w:cs="Arial"/>
          <w:noProof w:val="0"/>
          <w:sz w:val="22"/>
          <w:lang w:val="en-US" w:eastAsia="zh-CN"/>
        </w:rPr>
        <w:t>Aug</w:t>
      </w:r>
      <w:r w:rsidR="005945FC" w:rsidRPr="005945FC">
        <w:rPr>
          <w:rFonts w:eastAsia="Times New Roman" w:cs="Arial"/>
          <w:noProof w:val="0"/>
          <w:sz w:val="22"/>
          <w:lang w:val="en-US" w:eastAsia="zh-CN"/>
        </w:rPr>
        <w:t xml:space="preserve"> </w:t>
      </w:r>
      <w:r w:rsidR="00D9195A">
        <w:rPr>
          <w:rFonts w:eastAsia="Times New Roman" w:cs="Arial"/>
          <w:noProof w:val="0"/>
          <w:sz w:val="22"/>
          <w:lang w:val="en-US" w:eastAsia="zh-CN"/>
        </w:rPr>
        <w:t>2</w:t>
      </w:r>
      <w:r>
        <w:rPr>
          <w:rFonts w:eastAsia="Times New Roman" w:cs="Arial"/>
          <w:noProof w:val="0"/>
          <w:sz w:val="22"/>
          <w:lang w:val="en-US" w:eastAsia="zh-CN"/>
        </w:rPr>
        <w:t>1</w:t>
      </w:r>
      <w:r>
        <w:rPr>
          <w:rFonts w:eastAsia="Times New Roman" w:cs="Arial"/>
          <w:noProof w:val="0"/>
          <w:sz w:val="22"/>
          <w:vertAlign w:val="superscript"/>
          <w:lang w:val="en-US" w:eastAsia="zh-CN"/>
        </w:rPr>
        <w:t>st</w:t>
      </w:r>
      <w:r w:rsidR="005945FC" w:rsidRPr="005945FC">
        <w:rPr>
          <w:rFonts w:eastAsia="Times New Roman" w:cs="Arial"/>
          <w:noProof w:val="0"/>
          <w:sz w:val="22"/>
          <w:lang w:val="en-US" w:eastAsia="zh-CN"/>
        </w:rPr>
        <w:t>-2</w:t>
      </w:r>
      <w:r>
        <w:rPr>
          <w:rFonts w:eastAsia="Times New Roman" w:cs="Arial"/>
          <w:noProof w:val="0"/>
          <w:sz w:val="22"/>
          <w:lang w:val="en-US" w:eastAsia="zh-CN"/>
        </w:rPr>
        <w:t>5</w:t>
      </w:r>
      <w:r w:rsidR="00D9195A" w:rsidRPr="00D9195A">
        <w:rPr>
          <w:rFonts w:eastAsia="Times New Roman" w:cs="Arial"/>
          <w:noProof w:val="0"/>
          <w:sz w:val="22"/>
          <w:vertAlign w:val="superscript"/>
          <w:lang w:val="en-US" w:eastAsia="zh-CN"/>
        </w:rPr>
        <w:t>th</w:t>
      </w:r>
      <w:r w:rsidR="005945FC" w:rsidRPr="005945FC">
        <w:rPr>
          <w:rFonts w:eastAsia="Times New Roman" w:cs="Arial"/>
          <w:noProof w:val="0"/>
          <w:sz w:val="22"/>
          <w:lang w:val="en-US" w:eastAsia="zh-CN"/>
        </w:rPr>
        <w:t>, 2023</w:t>
      </w:r>
    </w:p>
    <w:p w14:paraId="70C65F51" w14:textId="77777777" w:rsidR="005945FC" w:rsidRPr="00543C8D" w:rsidRDefault="005945FC" w:rsidP="00CD4C7B">
      <w:pPr>
        <w:pStyle w:val="a3"/>
        <w:rPr>
          <w:rFonts w:eastAsia="MS Mincho"/>
          <w:bCs/>
          <w:noProof w:val="0"/>
          <w:sz w:val="24"/>
          <w:lang w:val="en-US"/>
        </w:rPr>
      </w:pPr>
    </w:p>
    <w:p w14:paraId="4A3BC02F" w14:textId="6807F78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D5EA8">
        <w:rPr>
          <w:rFonts w:eastAsia="宋体" w:cs="Arial"/>
          <w:b/>
          <w:bCs/>
          <w:sz w:val="24"/>
          <w:lang w:eastAsia="zh-CN"/>
        </w:rPr>
        <w:t>7.14.</w:t>
      </w:r>
      <w:r w:rsidR="00A128E9">
        <w:rPr>
          <w:rFonts w:eastAsia="宋体" w:cs="Arial"/>
          <w:b/>
          <w:bCs/>
          <w:sz w:val="24"/>
          <w:lang w:eastAsia="zh-CN"/>
        </w:rPr>
        <w:t>4</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0E44A3AD"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0D5EA8">
        <w:rPr>
          <w:rFonts w:ascii="Arial" w:hAnsi="Arial" w:cs="Arial"/>
          <w:b/>
          <w:bCs/>
          <w:sz w:val="24"/>
          <w:lang w:eastAsia="zh-CN"/>
        </w:rPr>
        <w:t>Discussion on QoE in NR-DC</w:t>
      </w:r>
    </w:p>
    <w:p w14:paraId="356EA699" w14:textId="06882785"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2A0E9BA" w14:textId="0E5F8529" w:rsidR="00B9114D" w:rsidRDefault="00B9114D" w:rsidP="004D2113">
      <w:pPr>
        <w:overflowPunct w:val="0"/>
        <w:autoSpaceDE w:val="0"/>
        <w:autoSpaceDN w:val="0"/>
        <w:adjustRightInd w:val="0"/>
        <w:textAlignment w:val="baseline"/>
        <w:rPr>
          <w:lang w:val="sv-SE" w:eastAsia="zh-CN"/>
        </w:rPr>
      </w:pPr>
      <w:bookmarkStart w:id="1" w:name="_Hlk127457765"/>
      <w:r w:rsidRPr="00B9114D">
        <w:rPr>
          <w:lang w:val="sv-SE" w:eastAsia="zh-CN"/>
        </w:rPr>
        <w:t>In RAN2 12</w:t>
      </w:r>
      <w:r w:rsidR="000D5EA8">
        <w:rPr>
          <w:lang w:val="sv-SE" w:eastAsia="zh-CN"/>
        </w:rPr>
        <w:t xml:space="preserve">2 </w:t>
      </w:r>
      <w:r w:rsidR="003C0902">
        <w:rPr>
          <w:lang w:val="sv-SE" w:eastAsia="zh-CN"/>
        </w:rPr>
        <w:t>[1]</w:t>
      </w:r>
      <w:r w:rsidRPr="00B9114D">
        <w:rPr>
          <w:lang w:val="sv-SE" w:eastAsia="zh-CN"/>
        </w:rPr>
        <w:t xml:space="preserve">, </w:t>
      </w:r>
      <w:bookmarkStart w:id="2" w:name="_Hlk127457838"/>
      <w:r w:rsidRPr="00B9114D">
        <w:rPr>
          <w:lang w:val="sv-SE" w:eastAsia="zh-CN"/>
        </w:rPr>
        <w:t xml:space="preserve">consensus </w:t>
      </w:r>
      <w:bookmarkEnd w:id="2"/>
      <w:r w:rsidRPr="00B9114D">
        <w:rPr>
          <w:lang w:val="sv-SE" w:eastAsia="zh-CN"/>
        </w:rPr>
        <w:t>has been reached on</w:t>
      </w:r>
      <w:r w:rsidR="00910476">
        <w:rPr>
          <w:lang w:val="sv-SE" w:eastAsia="zh-CN"/>
        </w:rPr>
        <w:t xml:space="preserve"> QoE in NR-DC</w:t>
      </w:r>
      <w:r w:rsidRPr="00B9114D">
        <w:rPr>
          <w:lang w:val="sv-SE" w:eastAsia="zh-CN"/>
        </w:rPr>
        <w:t xml:space="preserve">, and </w:t>
      </w:r>
      <w:r w:rsidR="00B4107A">
        <w:rPr>
          <w:lang w:val="sv-SE" w:eastAsia="zh-CN"/>
        </w:rPr>
        <w:t xml:space="preserve">leaving </w:t>
      </w:r>
      <w:r w:rsidR="00A4636C">
        <w:rPr>
          <w:lang w:val="sv-SE" w:eastAsia="zh-CN"/>
        </w:rPr>
        <w:t>serveral FFS</w:t>
      </w:r>
      <w:r w:rsidR="00402BD3">
        <w:rPr>
          <w:lang w:val="sv-SE" w:eastAsia="zh-CN"/>
        </w:rPr>
        <w:t xml:space="preserve"> and </w:t>
      </w:r>
      <w:r w:rsidR="00AA382E">
        <w:rPr>
          <w:lang w:val="sv-SE" w:eastAsia="zh-CN"/>
        </w:rPr>
        <w:t>future works</w:t>
      </w:r>
      <w:r w:rsidR="007D224A">
        <w:rPr>
          <w:lang w:val="sv-SE" w:eastAsia="zh-CN"/>
        </w:rPr>
        <w:t>,</w:t>
      </w:r>
      <w:r w:rsidR="004C6C16">
        <w:rPr>
          <w:lang w:val="sv-SE" w:eastAsia="zh-CN"/>
        </w:rPr>
        <w:t xml:space="preserve"> which </w:t>
      </w:r>
      <w:r w:rsidR="007D224A">
        <w:rPr>
          <w:lang w:val="sv-SE" w:eastAsia="zh-CN"/>
        </w:rPr>
        <w:t xml:space="preserve">are </w:t>
      </w:r>
      <w:r w:rsidR="004C6C16">
        <w:rPr>
          <w:lang w:val="sv-SE" w:eastAsia="zh-CN"/>
        </w:rPr>
        <w:t>shown in the following</w:t>
      </w:r>
      <w:r w:rsidRPr="00B9114D">
        <w:rPr>
          <w:lang w:val="sv-SE" w:eastAsia="zh-CN"/>
        </w:rPr>
        <w:t>:</w:t>
      </w:r>
    </w:p>
    <w:bookmarkEnd w:id="1"/>
    <w:p w14:paraId="22115E58" w14:textId="77777777" w:rsidR="00910476" w:rsidRPr="00910476" w:rsidRDefault="00910476" w:rsidP="00910476">
      <w:pPr>
        <w:pStyle w:val="Agreement"/>
        <w:rPr>
          <w:rFonts w:ascii="Calibri" w:hAnsi="Calibri" w:cs="Calibri"/>
          <w:sz w:val="22"/>
          <w:szCs w:val="22"/>
          <w:lang w:val="en-GB"/>
        </w:rPr>
      </w:pPr>
      <w:r w:rsidRPr="00910476">
        <w:rPr>
          <w:lang w:val="en-GB"/>
        </w:rPr>
        <w:t xml:space="preserve">FFS how to handle the QoE report transmission if there is only one SRB and the QoE report is not (explicitly) configured for that SRB (to be checked if this is possible according to latest RAN3 agreements) </w:t>
      </w:r>
    </w:p>
    <w:p w14:paraId="0F5D28FE" w14:textId="77777777" w:rsidR="00910476" w:rsidRPr="00910476" w:rsidRDefault="00910476" w:rsidP="00910476">
      <w:pPr>
        <w:pStyle w:val="Agreement"/>
        <w:rPr>
          <w:rFonts w:ascii="Calibri" w:hAnsi="Calibri" w:cs="Calibri"/>
          <w:sz w:val="22"/>
          <w:szCs w:val="22"/>
          <w:lang w:val="en-GB"/>
        </w:rPr>
      </w:pPr>
      <w:r w:rsidRPr="00910476">
        <w:rPr>
          <w:lang w:val="en-GB"/>
        </w:rPr>
        <w:t>FFS how the above case works if SCG is deactivated or released.</w:t>
      </w:r>
    </w:p>
    <w:p w14:paraId="26E6507C" w14:textId="2E86F790"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 xml:space="preserve">a discussion on </w:t>
      </w:r>
      <w:r w:rsidR="007D224A">
        <w:t>QoE in NR-DC</w:t>
      </w:r>
      <w:r w:rsidR="004C6C16">
        <w:t xml:space="preserve"> </w:t>
      </w:r>
      <w:r w:rsidR="00373774">
        <w:t xml:space="preserve">will be </w:t>
      </w:r>
      <w:r w:rsidR="007D1341">
        <w:rPr>
          <w:rFonts w:hint="eastAsia"/>
          <w:lang w:eastAsia="zh-CN"/>
        </w:rPr>
        <w:t>conducted</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17E947C6" w:rsidR="0041744B" w:rsidRPr="008521AC" w:rsidRDefault="0041744B" w:rsidP="0041744B">
      <w:pPr>
        <w:pStyle w:val="2"/>
        <w:rPr>
          <w:lang w:val="en-US" w:eastAsia="zh-CN"/>
        </w:rPr>
      </w:pPr>
      <w:bookmarkStart w:id="3" w:name="_Hlk109915489"/>
      <w:r>
        <w:rPr>
          <w:rFonts w:hint="eastAsia"/>
          <w:lang w:eastAsia="zh-CN"/>
        </w:rPr>
        <w:t>2.1</w:t>
      </w:r>
      <w:r w:rsidR="00ED5755">
        <w:rPr>
          <w:lang w:eastAsia="zh-CN"/>
        </w:rPr>
        <w:t xml:space="preserve"> </w:t>
      </w:r>
      <w:r w:rsidR="007D224A">
        <w:rPr>
          <w:lang w:val="en-US" w:eastAsia="zh-CN"/>
        </w:rPr>
        <w:t>QoE</w:t>
      </w:r>
      <w:r w:rsidR="00273120">
        <w:rPr>
          <w:lang w:val="en-US" w:eastAsia="zh-CN"/>
        </w:rPr>
        <w:t xml:space="preserve"> report in NR-DC</w:t>
      </w:r>
    </w:p>
    <w:p w14:paraId="3D85959E" w14:textId="77777777" w:rsidR="00CB1028" w:rsidRDefault="00CB1028" w:rsidP="00CB1028">
      <w:pPr>
        <w:rPr>
          <w:lang w:eastAsia="zh-CN"/>
        </w:rPr>
      </w:pPr>
      <w:r>
        <w:rPr>
          <w:lang w:eastAsia="zh-CN"/>
        </w:rPr>
        <w:t>In the previous discussion, RAN2 had agreed to use explicit indication per QoE configuration for indicating reporting SRBs. Under normal circumstances, the SRB indicated by the explicit indication should be established. However, if the indicated SRB is not configured, the behavior of the terminal is not defined.</w:t>
      </w:r>
    </w:p>
    <w:p w14:paraId="7FBA7DD1" w14:textId="6D2BEF8C" w:rsidR="00CB1028" w:rsidRDefault="00CB1028" w:rsidP="00CB1028">
      <w:pPr>
        <w:rPr>
          <w:lang w:eastAsia="zh-CN"/>
        </w:rPr>
      </w:pPr>
      <w:r>
        <w:rPr>
          <w:lang w:eastAsia="zh-CN"/>
        </w:rPr>
        <w:t>In RAN3#120[2], RAN3's view was basically consistent with RAN2, that is, UE can be explicitly indicated for reporting QoE on the SRB, but RAN3 did not consider the case where the indicated SRB is not configured.</w:t>
      </w:r>
    </w:p>
    <w:tbl>
      <w:tblPr>
        <w:tblStyle w:val="a7"/>
        <w:tblW w:w="0" w:type="auto"/>
        <w:tblLook w:val="04A0" w:firstRow="1" w:lastRow="0" w:firstColumn="1" w:lastColumn="0" w:noHBand="0" w:noVBand="1"/>
      </w:tblPr>
      <w:tblGrid>
        <w:gridCol w:w="9631"/>
      </w:tblGrid>
      <w:tr w:rsidR="00CB1028" w14:paraId="13720D17" w14:textId="77777777" w:rsidTr="00CB1028">
        <w:tc>
          <w:tcPr>
            <w:tcW w:w="9631" w:type="dxa"/>
          </w:tcPr>
          <w:p w14:paraId="5697AA6D" w14:textId="35AE1CD9" w:rsidR="00CB1028" w:rsidRPr="007470CD" w:rsidRDefault="00500621" w:rsidP="00500621">
            <w:pPr>
              <w:pStyle w:val="af4"/>
              <w:spacing w:before="0" w:beforeAutospacing="0" w:after="0" w:afterAutospacing="0"/>
              <w:rPr>
                <w:rFonts w:asciiTheme="minorHAnsi" w:eastAsia="微软雅黑" w:hAnsiTheme="minorHAnsi" w:cstheme="minorHAnsi"/>
                <w:color w:val="008000"/>
              </w:rPr>
            </w:pPr>
            <w:r w:rsidRPr="007470CD">
              <w:rPr>
                <w:rFonts w:asciiTheme="minorHAnsi" w:eastAsia="微软雅黑" w:hAnsiTheme="minorHAnsi" w:cstheme="minorHAnsi"/>
                <w:b/>
                <w:bCs/>
                <w:color w:val="008000"/>
                <w:sz w:val="20"/>
                <w:szCs w:val="20"/>
              </w:rPr>
              <w:t>RAN3 understanding is that the UE can be explicitly instructed whether to report over SRB5 or SRB4.</w:t>
            </w:r>
          </w:p>
        </w:tc>
      </w:tr>
    </w:tbl>
    <w:p w14:paraId="39C3577D" w14:textId="16001833" w:rsidR="00792D0A" w:rsidRDefault="00DB1754" w:rsidP="00DB1754">
      <w:pPr>
        <w:spacing w:beforeLines="50" w:before="156"/>
        <w:rPr>
          <w:lang w:eastAsia="zh-CN"/>
        </w:rPr>
      </w:pPr>
      <w:r w:rsidRPr="00DB1754">
        <w:rPr>
          <w:lang w:eastAsia="zh-CN"/>
        </w:rPr>
        <w:t>Therefore, we believe that in NR-DC, if the UE is only configured with</w:t>
      </w:r>
      <w:r>
        <w:rPr>
          <w:lang w:eastAsia="zh-CN"/>
        </w:rPr>
        <w:t xml:space="preserve"> one of</w:t>
      </w:r>
      <w:r w:rsidRPr="00DB1754">
        <w:rPr>
          <w:lang w:eastAsia="zh-CN"/>
        </w:rPr>
        <w:t xml:space="preserve"> SRB4 or SRB5, and the indicated SRB is </w:t>
      </w:r>
      <w:r>
        <w:rPr>
          <w:lang w:eastAsia="zh-CN"/>
        </w:rPr>
        <w:t>the other</w:t>
      </w:r>
      <w:r w:rsidRPr="00DB1754">
        <w:rPr>
          <w:lang w:eastAsia="zh-CN"/>
        </w:rPr>
        <w:t>, the UE should use the currently configured SRB4/SRB5 to report QoE in order to ensure the availability of QoE reporting.</w:t>
      </w:r>
    </w:p>
    <w:p w14:paraId="390EE839" w14:textId="786F72C1" w:rsidR="00792D0A" w:rsidRPr="00792D0A" w:rsidRDefault="00792D0A" w:rsidP="00792D0A">
      <w:pPr>
        <w:spacing w:beforeLines="50" w:before="156"/>
        <w:ind w:left="564" w:hangingChars="281" w:hanging="564"/>
        <w:rPr>
          <w:b/>
          <w:bCs/>
          <w:lang w:eastAsia="zh-CN"/>
        </w:rPr>
      </w:pPr>
      <w:r w:rsidRPr="00792D0A">
        <w:rPr>
          <w:b/>
          <w:bCs/>
          <w:lang w:eastAsia="zh-CN"/>
        </w:rPr>
        <w:t>Proposal</w:t>
      </w:r>
      <w:r w:rsidR="00587D17">
        <w:rPr>
          <w:b/>
          <w:bCs/>
          <w:lang w:eastAsia="zh-CN"/>
        </w:rPr>
        <w:t xml:space="preserve"> 1</w:t>
      </w:r>
      <w:r w:rsidRPr="00792D0A">
        <w:rPr>
          <w:b/>
          <w:bCs/>
          <w:lang w:eastAsia="zh-CN"/>
        </w:rPr>
        <w:t>: UE can use configured SRB4/SRB5 for QoE reporting in NR-DC if the explicit indicated SRB is not configured.</w:t>
      </w:r>
    </w:p>
    <w:p w14:paraId="51E635C5" w14:textId="114907F7" w:rsidR="00CB1028" w:rsidRPr="00CB1028" w:rsidRDefault="00DB1754" w:rsidP="00DB1754">
      <w:pPr>
        <w:spacing w:beforeLines="50" w:before="156"/>
        <w:rPr>
          <w:lang w:eastAsia="zh-CN"/>
        </w:rPr>
      </w:pPr>
      <w:r w:rsidRPr="00DB1754">
        <w:rPr>
          <w:lang w:eastAsia="zh-CN"/>
        </w:rPr>
        <w:t>The</w:t>
      </w:r>
      <w:r w:rsidR="00AF4538">
        <w:rPr>
          <w:lang w:eastAsia="zh-CN"/>
        </w:rPr>
        <w:t>n</w:t>
      </w:r>
      <w:r w:rsidRPr="00DB1754">
        <w:rPr>
          <w:lang w:eastAsia="zh-CN"/>
        </w:rPr>
        <w:t xml:space="preserve"> UE can indicate that the QoE configuration</w:t>
      </w:r>
      <w:r w:rsidR="00AF4538">
        <w:rPr>
          <w:lang w:eastAsia="zh-CN"/>
        </w:rPr>
        <w:t xml:space="preserve"> </w:t>
      </w:r>
      <w:r w:rsidR="00014CEF">
        <w:rPr>
          <w:lang w:eastAsia="zh-CN"/>
        </w:rPr>
        <w:t>comes from</w:t>
      </w:r>
      <w:r w:rsidRPr="00DB1754">
        <w:rPr>
          <w:lang w:eastAsia="zh-CN"/>
        </w:rPr>
        <w:t xml:space="preserve"> the NW exists conflict.</w:t>
      </w:r>
    </w:p>
    <w:p w14:paraId="121F6016" w14:textId="132F1F68" w:rsidR="00CB1028" w:rsidRPr="00F81AD7" w:rsidRDefault="00F81AD7" w:rsidP="00F81AD7">
      <w:pPr>
        <w:spacing w:beforeLines="50" w:before="156"/>
        <w:ind w:left="564" w:hangingChars="281" w:hanging="564"/>
        <w:rPr>
          <w:b/>
          <w:bCs/>
          <w:lang w:eastAsia="zh-CN"/>
        </w:rPr>
      </w:pPr>
      <w:r w:rsidRPr="00F81AD7">
        <w:rPr>
          <w:b/>
          <w:bCs/>
          <w:lang w:eastAsia="zh-CN"/>
        </w:rPr>
        <w:t>Proposal</w:t>
      </w:r>
      <w:r w:rsidR="00587D17">
        <w:rPr>
          <w:b/>
          <w:bCs/>
          <w:lang w:eastAsia="zh-CN"/>
        </w:rPr>
        <w:t xml:space="preserve"> 2</w:t>
      </w:r>
      <w:r w:rsidRPr="00F81AD7">
        <w:rPr>
          <w:b/>
          <w:bCs/>
          <w:lang w:eastAsia="zh-CN"/>
        </w:rPr>
        <w:t>: UE can indicate RAN via RRC message that indicated SRB is not configured and request RRC Reconfiguration for suitable QoE configuration.</w:t>
      </w:r>
    </w:p>
    <w:p w14:paraId="53847930" w14:textId="68B8DE01" w:rsidR="00CB1028" w:rsidRDefault="00A806D9" w:rsidP="00672C83">
      <w:pPr>
        <w:rPr>
          <w:lang w:eastAsia="zh-CN"/>
        </w:rPr>
      </w:pPr>
      <w:r w:rsidRPr="00A806D9">
        <w:rPr>
          <w:lang w:eastAsia="zh-CN"/>
        </w:rPr>
        <w:lastRenderedPageBreak/>
        <w:t>Another issue is about the QoE measurement after the SCG is deactivated or released. RAN3 has preliminarily discussed this issue and reached a conclusion.</w:t>
      </w:r>
    </w:p>
    <w:tbl>
      <w:tblPr>
        <w:tblStyle w:val="a7"/>
        <w:tblW w:w="0" w:type="auto"/>
        <w:tblLook w:val="04A0" w:firstRow="1" w:lastRow="0" w:firstColumn="1" w:lastColumn="0" w:noHBand="0" w:noVBand="1"/>
      </w:tblPr>
      <w:tblGrid>
        <w:gridCol w:w="9631"/>
      </w:tblGrid>
      <w:tr w:rsidR="00A806D9" w14:paraId="7FE1836E" w14:textId="77777777" w:rsidTr="00A806D9">
        <w:tc>
          <w:tcPr>
            <w:tcW w:w="9631" w:type="dxa"/>
          </w:tcPr>
          <w:p w14:paraId="4EC893F8" w14:textId="3DA042AA" w:rsidR="00A806D9" w:rsidRPr="00445420" w:rsidRDefault="00A806D9" w:rsidP="00A806D9">
            <w:pPr>
              <w:pStyle w:val="af4"/>
              <w:spacing w:before="0" w:beforeAutospacing="0" w:after="0" w:afterAutospacing="0"/>
              <w:rPr>
                <w:rFonts w:asciiTheme="minorHAnsi" w:eastAsia="微软雅黑" w:hAnsiTheme="minorHAnsi" w:cstheme="minorHAnsi"/>
                <w:b/>
                <w:bCs/>
                <w:color w:val="008000"/>
                <w:sz w:val="20"/>
                <w:szCs w:val="20"/>
              </w:rPr>
            </w:pPr>
            <w:r w:rsidRPr="00445420">
              <w:rPr>
                <w:rFonts w:asciiTheme="minorHAnsi" w:eastAsia="微软雅黑" w:hAnsiTheme="minorHAnsi" w:cstheme="minorHAnsi"/>
                <w:b/>
                <w:bCs/>
                <w:color w:val="008000"/>
                <w:sz w:val="20"/>
                <w:szCs w:val="20"/>
              </w:rPr>
              <w:t>If the SN configured a UE with QoE measurements, at SN release, the QoE/RVQoE configuration can be released. Whether the SN-configured QoE/RVQoE configuration information can be passed to the MN in case of SN release needs to be further discussed.</w:t>
            </w:r>
          </w:p>
        </w:tc>
      </w:tr>
    </w:tbl>
    <w:p w14:paraId="32DFC3C3" w14:textId="77777777" w:rsidR="00E474F7" w:rsidRDefault="00E474F7" w:rsidP="00E474F7">
      <w:pPr>
        <w:spacing w:beforeLines="50" w:before="156"/>
        <w:rPr>
          <w:lang w:eastAsia="zh-CN"/>
        </w:rPr>
      </w:pPr>
      <w:r>
        <w:rPr>
          <w:lang w:eastAsia="zh-CN"/>
        </w:rPr>
        <w:t xml:space="preserve">From the perspective of maintaining the continuity of QoE measurement, if the SN configuration for QoE/RVQoE is not released when the SN is released, the UE or MN should retain the relevant configurations. </w:t>
      </w:r>
    </w:p>
    <w:p w14:paraId="100DA44D" w14:textId="7291E242" w:rsidR="00A806D9" w:rsidRDefault="00E474F7" w:rsidP="00E474F7">
      <w:pPr>
        <w:rPr>
          <w:lang w:eastAsia="zh-CN"/>
        </w:rPr>
      </w:pPr>
      <w:r>
        <w:rPr>
          <w:lang w:eastAsia="zh-CN"/>
        </w:rPr>
        <w:t xml:space="preserve">For SCG deactivation, we believe that there is no need to retain the related measurement configurations. However, this issue can </w:t>
      </w:r>
      <w:r w:rsidR="00AE0133">
        <w:rPr>
          <w:lang w:eastAsia="zh-CN"/>
        </w:rPr>
        <w:t xml:space="preserve">wait </w:t>
      </w:r>
      <w:r>
        <w:rPr>
          <w:lang w:eastAsia="zh-CN"/>
        </w:rPr>
        <w:t>for the conclusion from RAN3.</w:t>
      </w:r>
    </w:p>
    <w:p w14:paraId="14A6BAF5" w14:textId="21328CB2" w:rsidR="00CB1028" w:rsidRPr="00AE0133" w:rsidRDefault="00AE0133" w:rsidP="00AE0133">
      <w:pPr>
        <w:spacing w:beforeLines="50" w:before="156"/>
        <w:ind w:left="564" w:hangingChars="281" w:hanging="564"/>
        <w:rPr>
          <w:b/>
          <w:bCs/>
          <w:lang w:eastAsia="zh-CN"/>
        </w:rPr>
      </w:pPr>
      <w:r w:rsidRPr="00AE0133">
        <w:rPr>
          <w:rFonts w:hint="eastAsia"/>
          <w:b/>
          <w:bCs/>
          <w:lang w:eastAsia="zh-CN"/>
        </w:rPr>
        <w:t>Proposal</w:t>
      </w:r>
      <w:r w:rsidR="00587D17">
        <w:rPr>
          <w:b/>
          <w:bCs/>
          <w:lang w:eastAsia="zh-CN"/>
        </w:rPr>
        <w:t xml:space="preserve"> 3</w:t>
      </w:r>
      <w:r w:rsidRPr="00AE0133">
        <w:rPr>
          <w:rFonts w:hint="eastAsia"/>
          <w:b/>
          <w:bCs/>
          <w:lang w:eastAsia="zh-CN"/>
        </w:rPr>
        <w:t>: RAN2 to wait for RAN3's conclusion on whether the SN-configured QoE/RVQoE configuration information can be passed to the MN</w:t>
      </w:r>
      <w:r w:rsidR="00F82E41">
        <w:rPr>
          <w:b/>
          <w:bCs/>
          <w:lang w:eastAsia="zh-CN"/>
        </w:rPr>
        <w:t xml:space="preserve"> </w:t>
      </w:r>
      <w:r w:rsidR="00F82E41">
        <w:rPr>
          <w:rFonts w:hint="eastAsia"/>
          <w:b/>
          <w:bCs/>
          <w:lang w:eastAsia="zh-CN"/>
        </w:rPr>
        <w:t>when</w:t>
      </w:r>
      <w:r w:rsidR="00F82E41">
        <w:rPr>
          <w:b/>
          <w:bCs/>
          <w:lang w:eastAsia="zh-CN"/>
        </w:rPr>
        <w:t xml:space="preserve"> </w:t>
      </w:r>
      <w:r w:rsidR="00F82E41">
        <w:rPr>
          <w:rFonts w:hint="eastAsia"/>
          <w:b/>
          <w:bCs/>
          <w:lang w:eastAsia="zh-CN"/>
        </w:rPr>
        <w:t>SN</w:t>
      </w:r>
      <w:r w:rsidR="00F82E41">
        <w:rPr>
          <w:b/>
          <w:bCs/>
          <w:lang w:eastAsia="zh-CN"/>
        </w:rPr>
        <w:t xml:space="preserve"> </w:t>
      </w:r>
      <w:r w:rsidR="00DE0AA2">
        <w:rPr>
          <w:rFonts w:hint="eastAsia"/>
          <w:b/>
          <w:bCs/>
          <w:lang w:eastAsia="zh-CN"/>
        </w:rPr>
        <w:t>release</w:t>
      </w:r>
      <w:r w:rsidRPr="00AE0133">
        <w:rPr>
          <w:rFonts w:hint="eastAsia"/>
          <w:b/>
          <w:bCs/>
          <w:lang w:eastAsia="zh-CN"/>
        </w:rPr>
        <w:t>.</w:t>
      </w:r>
    </w:p>
    <w:p w14:paraId="4914711D" w14:textId="429126C8" w:rsidR="0050264A" w:rsidRDefault="00EC480D" w:rsidP="0050264A">
      <w:pPr>
        <w:pStyle w:val="2"/>
        <w:rPr>
          <w:lang w:val="sv-SE" w:eastAsia="zh-CN"/>
        </w:rPr>
      </w:pPr>
      <w:r>
        <w:rPr>
          <w:rFonts w:hint="eastAsia"/>
          <w:lang w:eastAsia="zh-CN"/>
        </w:rPr>
        <w:t>2.</w:t>
      </w:r>
      <w:r w:rsidR="0041744B">
        <w:rPr>
          <w:lang w:eastAsia="zh-CN"/>
        </w:rPr>
        <w:t>2</w:t>
      </w:r>
      <w:r>
        <w:rPr>
          <w:rFonts w:hint="eastAsia"/>
          <w:lang w:eastAsia="zh-CN"/>
        </w:rPr>
        <w:t xml:space="preserve"> </w:t>
      </w:r>
      <w:bookmarkEnd w:id="3"/>
      <w:r w:rsidR="00587D17">
        <w:rPr>
          <w:lang w:val="sv-SE" w:eastAsia="zh-CN"/>
        </w:rPr>
        <w:t>MN-SN coordination</w:t>
      </w:r>
    </w:p>
    <w:p w14:paraId="6E65DDC1" w14:textId="1F7090A0" w:rsidR="00B80525" w:rsidRDefault="00B80525" w:rsidP="0039190D">
      <w:pPr>
        <w:rPr>
          <w:lang w:val="sv-SE" w:eastAsia="zh-CN"/>
        </w:rPr>
      </w:pPr>
      <w:r w:rsidRPr="00B80525">
        <w:rPr>
          <w:lang w:val="sv-SE" w:eastAsia="zh-CN"/>
        </w:rPr>
        <w:t>Based on the previous conclusions from RAN3, for m-based QoE, the MN can send the QoE reference and MCE IP address to the SN, to ensure that the SN can use the correct parameters to transmit QoE. Vice versa, the SN can also send the QoE reference and MCE IP address to the MN for the same purpose.</w:t>
      </w:r>
    </w:p>
    <w:tbl>
      <w:tblPr>
        <w:tblStyle w:val="a7"/>
        <w:tblW w:w="0" w:type="auto"/>
        <w:tblLook w:val="04A0" w:firstRow="1" w:lastRow="0" w:firstColumn="1" w:lastColumn="0" w:noHBand="0" w:noVBand="1"/>
      </w:tblPr>
      <w:tblGrid>
        <w:gridCol w:w="9631"/>
      </w:tblGrid>
      <w:tr w:rsidR="00AD7E8A" w14:paraId="7086DBFF" w14:textId="77777777" w:rsidTr="00AD7E8A">
        <w:tc>
          <w:tcPr>
            <w:tcW w:w="9631" w:type="dxa"/>
          </w:tcPr>
          <w:p w14:paraId="59B7856F" w14:textId="69002D7C" w:rsidR="00AD7E8A" w:rsidRPr="00F751CF" w:rsidRDefault="00F751CF" w:rsidP="00F751CF">
            <w:pPr>
              <w:pStyle w:val="af4"/>
              <w:spacing w:before="0" w:beforeAutospacing="0" w:after="0" w:afterAutospacing="0"/>
              <w:rPr>
                <w:rFonts w:ascii="Calibri" w:hAnsi="Calibri" w:cs="Calibri"/>
                <w:sz w:val="20"/>
                <w:szCs w:val="20"/>
              </w:rPr>
            </w:pPr>
            <w:r>
              <w:rPr>
                <w:rFonts w:ascii="Calibri" w:hAnsi="Calibri" w:cs="Calibri"/>
                <w:b/>
                <w:bCs/>
                <w:color w:val="008000"/>
                <w:sz w:val="20"/>
                <w:szCs w:val="20"/>
                <w:lang w:val="en-GB"/>
              </w:rPr>
              <w:t xml:space="preserve">When MN configures a UE with m-based QoE, it may indicate to SN: the QoE Reference, the MCE IP address. </w:t>
            </w:r>
            <w:r>
              <w:rPr>
                <w:rFonts w:ascii="Calibri" w:hAnsi="Calibri" w:cs="Calibri"/>
                <w:b/>
                <w:bCs/>
                <w:color w:val="0000FF"/>
                <w:sz w:val="20"/>
                <w:szCs w:val="20"/>
              </w:rPr>
              <w:t xml:space="preserve">FFS for other information (e.g., RRC ID) </w:t>
            </w:r>
          </w:p>
        </w:tc>
      </w:tr>
    </w:tbl>
    <w:p w14:paraId="76D2BDEE" w14:textId="79A1CA53" w:rsidR="00B80525" w:rsidRDefault="00AD7E8A" w:rsidP="00334F94">
      <w:pPr>
        <w:spacing w:beforeLines="50" w:before="156"/>
        <w:rPr>
          <w:lang w:val="sv-SE" w:eastAsia="zh-CN"/>
        </w:rPr>
      </w:pPr>
      <w:r>
        <w:rPr>
          <w:lang w:val="sv-SE" w:eastAsia="zh-CN"/>
        </w:rPr>
        <w:t xml:space="preserve">and, </w:t>
      </w:r>
    </w:p>
    <w:tbl>
      <w:tblPr>
        <w:tblStyle w:val="a7"/>
        <w:tblW w:w="0" w:type="auto"/>
        <w:tblLook w:val="04A0" w:firstRow="1" w:lastRow="0" w:firstColumn="1" w:lastColumn="0" w:noHBand="0" w:noVBand="1"/>
      </w:tblPr>
      <w:tblGrid>
        <w:gridCol w:w="9631"/>
      </w:tblGrid>
      <w:tr w:rsidR="00AD7E8A" w14:paraId="5E2F9C59" w14:textId="77777777" w:rsidTr="00AD7E8A">
        <w:tc>
          <w:tcPr>
            <w:tcW w:w="9631" w:type="dxa"/>
          </w:tcPr>
          <w:p w14:paraId="6FDF2231" w14:textId="2F2ED7B2" w:rsidR="00AD7E8A" w:rsidRDefault="00ED51D9" w:rsidP="00445420">
            <w:pPr>
              <w:pStyle w:val="af4"/>
              <w:spacing w:before="0" w:beforeAutospacing="0" w:after="0" w:afterAutospacing="0"/>
              <w:rPr>
                <w:lang w:val="sv-SE"/>
              </w:rPr>
            </w:pPr>
            <w:r w:rsidRPr="00445420">
              <w:rPr>
                <w:rFonts w:ascii="Calibri" w:hAnsi="Calibri" w:cs="Calibri"/>
                <w:b/>
                <w:bCs/>
                <w:color w:val="008000"/>
                <w:sz w:val="20"/>
                <w:szCs w:val="20"/>
                <w:lang w:val="en-GB"/>
              </w:rPr>
              <w:t>If the SN is asked by the MN to forward to the MCE the QoE reports pertaining to a measurement configured by the MN, the MN should indicate to the SN the QoE Reference, the MCE IP Address and the RRC ID.</w:t>
            </w:r>
          </w:p>
        </w:tc>
      </w:tr>
    </w:tbl>
    <w:p w14:paraId="6F2C14D2" w14:textId="04061E99" w:rsidR="00AD7E8A" w:rsidRDefault="00ED51D9" w:rsidP="00334F94">
      <w:pPr>
        <w:spacing w:beforeLines="50" w:before="156"/>
        <w:rPr>
          <w:lang w:val="sv-SE" w:eastAsia="zh-CN"/>
        </w:rPr>
      </w:pPr>
      <w:r>
        <w:rPr>
          <w:lang w:val="sv-SE" w:eastAsia="zh-CN"/>
        </w:rPr>
        <w:t xml:space="preserve">also, MN is also responsible for </w:t>
      </w:r>
      <w:r w:rsidR="00374EDB">
        <w:rPr>
          <w:lang w:val="sv-SE" w:eastAsia="zh-CN"/>
        </w:rPr>
        <w:t>s-based QoE configuration.</w:t>
      </w:r>
    </w:p>
    <w:tbl>
      <w:tblPr>
        <w:tblStyle w:val="a7"/>
        <w:tblW w:w="0" w:type="auto"/>
        <w:tblLook w:val="04A0" w:firstRow="1" w:lastRow="0" w:firstColumn="1" w:lastColumn="0" w:noHBand="0" w:noVBand="1"/>
      </w:tblPr>
      <w:tblGrid>
        <w:gridCol w:w="9631"/>
      </w:tblGrid>
      <w:tr w:rsidR="00374EDB" w14:paraId="077FA313" w14:textId="77777777" w:rsidTr="00374EDB">
        <w:tc>
          <w:tcPr>
            <w:tcW w:w="9631" w:type="dxa"/>
          </w:tcPr>
          <w:p w14:paraId="3DB3552E" w14:textId="77777777" w:rsidR="000C1B7F" w:rsidRPr="00445420" w:rsidRDefault="000C1B7F" w:rsidP="00445420">
            <w:pPr>
              <w:pStyle w:val="af4"/>
              <w:spacing w:before="0" w:beforeAutospacing="0" w:after="0" w:afterAutospacing="0"/>
              <w:rPr>
                <w:rFonts w:ascii="Calibri" w:hAnsi="Calibri" w:cs="Calibri"/>
                <w:b/>
                <w:bCs/>
                <w:color w:val="008000"/>
                <w:sz w:val="20"/>
                <w:szCs w:val="20"/>
                <w:lang w:val="en-GB"/>
              </w:rPr>
            </w:pPr>
            <w:r w:rsidRPr="00445420">
              <w:rPr>
                <w:rFonts w:ascii="Calibri" w:hAnsi="Calibri" w:cs="Calibri"/>
                <w:b/>
                <w:bCs/>
                <w:color w:val="008000"/>
                <w:sz w:val="20"/>
                <w:szCs w:val="20"/>
                <w:lang w:val="en-GB"/>
              </w:rPr>
              <w:t xml:space="preserve">MN is responsible to configure the s-based QoE to UE. </w:t>
            </w:r>
          </w:p>
          <w:p w14:paraId="367A28E5" w14:textId="23D7A6AC" w:rsidR="00374EDB" w:rsidRDefault="000C1B7F" w:rsidP="00445420">
            <w:pPr>
              <w:pStyle w:val="af4"/>
              <w:spacing w:before="0" w:beforeAutospacing="0" w:after="0" w:afterAutospacing="0"/>
              <w:rPr>
                <w:lang w:val="sv-SE"/>
              </w:rPr>
            </w:pPr>
            <w:r w:rsidRPr="00445420">
              <w:rPr>
                <w:rFonts w:ascii="Calibri" w:hAnsi="Calibri" w:cs="Calibri"/>
                <w:b/>
                <w:bCs/>
                <w:color w:val="008000"/>
                <w:sz w:val="20"/>
                <w:szCs w:val="20"/>
                <w:lang w:val="en-GB"/>
              </w:rPr>
              <w:t>If the M-based QoE configuration is received by the MN, the MN should make the decision on the UE selection and on which node sends the QoE configuration to the UE.</w:t>
            </w:r>
          </w:p>
        </w:tc>
      </w:tr>
    </w:tbl>
    <w:p w14:paraId="01066D23" w14:textId="77777777" w:rsidR="00334F94" w:rsidRPr="00334F94" w:rsidRDefault="00334F94" w:rsidP="00334F94">
      <w:pPr>
        <w:spacing w:beforeLines="50" w:before="156"/>
        <w:rPr>
          <w:lang w:val="sv-SE" w:eastAsia="zh-CN"/>
        </w:rPr>
      </w:pPr>
      <w:r w:rsidRPr="00334F94">
        <w:rPr>
          <w:lang w:val="sv-SE" w:eastAsia="zh-CN"/>
        </w:rPr>
        <w:t>Similarly, when the MN needs to send an SN-associated QoE report, it should have the relevant information such as the MCE IP address. Therefore, if the MN receives a QoE report from the SN on SRB4, it should already be aware of the information related to sending QoE reports.</w:t>
      </w:r>
    </w:p>
    <w:p w14:paraId="16D92C0F" w14:textId="6E9579F4" w:rsidR="00B80525" w:rsidRDefault="00334F94" w:rsidP="00334F94">
      <w:pPr>
        <w:rPr>
          <w:lang w:val="sv-SE" w:eastAsia="zh-CN"/>
        </w:rPr>
      </w:pPr>
      <w:r w:rsidRPr="00334F94">
        <w:rPr>
          <w:lang w:val="sv-SE" w:eastAsia="zh-CN"/>
        </w:rPr>
        <w:t>However, if the QoE configuration is directly downlinked to the SN by the OAM, the SN should send the MCE IP address, QoE reference, and RRC ID to the MN together.</w:t>
      </w:r>
    </w:p>
    <w:p w14:paraId="54396B5A" w14:textId="77777777" w:rsidR="000E62F1" w:rsidRPr="00CC270F" w:rsidRDefault="000E62F1" w:rsidP="000E62F1">
      <w:pPr>
        <w:spacing w:beforeLines="50" w:before="156"/>
        <w:ind w:left="564" w:hangingChars="281" w:hanging="564"/>
        <w:rPr>
          <w:b/>
          <w:bCs/>
          <w:lang w:eastAsia="zh-CN"/>
        </w:rPr>
      </w:pPr>
      <w:r w:rsidRPr="00CC270F">
        <w:rPr>
          <w:rFonts w:hint="eastAsia"/>
          <w:b/>
          <w:bCs/>
          <w:lang w:eastAsia="zh-CN"/>
        </w:rPr>
        <w:t>Proposal</w:t>
      </w:r>
      <w:r>
        <w:rPr>
          <w:b/>
          <w:bCs/>
          <w:lang w:eastAsia="zh-CN"/>
        </w:rPr>
        <w:t xml:space="preserve"> 4</w:t>
      </w:r>
      <w:r w:rsidRPr="00CC270F">
        <w:rPr>
          <w:rFonts w:hint="eastAsia"/>
          <w:b/>
          <w:bCs/>
          <w:lang w:eastAsia="zh-CN"/>
        </w:rPr>
        <w:t>: If QoE configuration is send directly to SN</w:t>
      </w:r>
      <w:r>
        <w:rPr>
          <w:rFonts w:hint="eastAsia"/>
          <w:b/>
          <w:bCs/>
          <w:lang w:eastAsia="zh-CN"/>
        </w:rPr>
        <w:t>,</w:t>
      </w:r>
      <w:r>
        <w:rPr>
          <w:b/>
          <w:bCs/>
          <w:lang w:eastAsia="zh-CN"/>
        </w:rPr>
        <w:t xml:space="preserve"> </w:t>
      </w:r>
      <w:r w:rsidRPr="00CC270F">
        <w:rPr>
          <w:rFonts w:hint="eastAsia"/>
          <w:b/>
          <w:bCs/>
          <w:lang w:eastAsia="zh-CN"/>
        </w:rPr>
        <w:t>SN can send QoE Reference</w:t>
      </w:r>
      <w:r>
        <w:rPr>
          <w:rFonts w:hint="eastAsia"/>
          <w:b/>
          <w:bCs/>
          <w:lang w:eastAsia="zh-CN"/>
        </w:rPr>
        <w:t>,</w:t>
      </w:r>
      <w:r>
        <w:rPr>
          <w:b/>
          <w:bCs/>
          <w:lang w:eastAsia="zh-CN"/>
        </w:rPr>
        <w:t xml:space="preserve"> </w:t>
      </w:r>
      <w:r w:rsidRPr="00CC270F">
        <w:rPr>
          <w:rFonts w:hint="eastAsia"/>
          <w:b/>
          <w:bCs/>
          <w:lang w:eastAsia="zh-CN"/>
        </w:rPr>
        <w:t>MCE IP address and RRC ID to MN</w:t>
      </w:r>
      <w:r>
        <w:rPr>
          <w:rFonts w:hint="eastAsia"/>
          <w:b/>
          <w:bCs/>
          <w:lang w:eastAsia="zh-CN"/>
        </w:rPr>
        <w:t>.</w:t>
      </w:r>
    </w:p>
    <w:p w14:paraId="51C5F8E6" w14:textId="01BD6233" w:rsidR="00CC270F" w:rsidRPr="00CC270F" w:rsidRDefault="00CC270F" w:rsidP="0039190D">
      <w:pPr>
        <w:rPr>
          <w:lang w:eastAsia="zh-CN"/>
        </w:rPr>
      </w:pPr>
      <w:r>
        <w:rPr>
          <w:lang w:eastAsia="zh-CN"/>
        </w:rPr>
        <w:t>As for RVQoE</w:t>
      </w:r>
      <w:r>
        <w:rPr>
          <w:rFonts w:hint="eastAsia"/>
          <w:lang w:eastAsia="zh-CN"/>
        </w:rPr>
        <w:t xml:space="preserve"> </w:t>
      </w:r>
      <w:r>
        <w:rPr>
          <w:lang w:eastAsia="zh-CN"/>
        </w:rPr>
        <w:t xml:space="preserve">MN-SN coordination, it’s under RAN3’s discussion now. </w:t>
      </w:r>
      <w:r w:rsidR="000C6090">
        <w:rPr>
          <w:rFonts w:hint="eastAsia"/>
          <w:lang w:eastAsia="zh-CN"/>
        </w:rPr>
        <w:t>RAN</w:t>
      </w:r>
      <w:r w:rsidR="000C6090">
        <w:rPr>
          <w:lang w:eastAsia="zh-CN"/>
        </w:rPr>
        <w:t xml:space="preserve">2 </w:t>
      </w:r>
      <w:r w:rsidR="000C6090">
        <w:rPr>
          <w:rFonts w:hint="eastAsia"/>
          <w:lang w:eastAsia="zh-CN"/>
        </w:rPr>
        <w:t>c</w:t>
      </w:r>
      <w:r>
        <w:rPr>
          <w:lang w:eastAsia="zh-CN"/>
        </w:rPr>
        <w:t>an wait for RAN’s conclusion.</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5261FDE8" w14:textId="7473DB01" w:rsidR="00CC270F" w:rsidRDefault="00CC270F" w:rsidP="00AE7E9D">
      <w:pPr>
        <w:rPr>
          <w:lang w:eastAsia="zh-CN"/>
        </w:rPr>
      </w:pPr>
      <w:r w:rsidRPr="00CC270F">
        <w:rPr>
          <w:lang w:eastAsia="zh-CN"/>
        </w:rPr>
        <w:t>This contribution discusses Rel-17 leftover topics for QoE, the following are the proposals that may be taken into consideration</w:t>
      </w:r>
      <w:r>
        <w:rPr>
          <w:lang w:eastAsia="zh-CN"/>
        </w:rPr>
        <w:t>:</w:t>
      </w:r>
    </w:p>
    <w:p w14:paraId="0FD392F1" w14:textId="77777777" w:rsidR="00CC270F" w:rsidRPr="00792D0A" w:rsidRDefault="00CC270F" w:rsidP="00CC270F">
      <w:pPr>
        <w:spacing w:beforeLines="50" w:before="156"/>
        <w:ind w:left="564" w:hangingChars="281" w:hanging="564"/>
        <w:rPr>
          <w:b/>
          <w:bCs/>
          <w:lang w:eastAsia="zh-CN"/>
        </w:rPr>
      </w:pPr>
      <w:r w:rsidRPr="00792D0A">
        <w:rPr>
          <w:b/>
          <w:bCs/>
          <w:lang w:eastAsia="zh-CN"/>
        </w:rPr>
        <w:lastRenderedPageBreak/>
        <w:t>Proposal</w:t>
      </w:r>
      <w:r>
        <w:rPr>
          <w:b/>
          <w:bCs/>
          <w:lang w:eastAsia="zh-CN"/>
        </w:rPr>
        <w:t xml:space="preserve"> 1</w:t>
      </w:r>
      <w:r w:rsidRPr="00792D0A">
        <w:rPr>
          <w:b/>
          <w:bCs/>
          <w:lang w:eastAsia="zh-CN"/>
        </w:rPr>
        <w:t>: UE can use configured SRB4/SRB5 for QoE reporting in NR-DC if the explicit indicated SRB is not configured.</w:t>
      </w:r>
    </w:p>
    <w:p w14:paraId="3BF4188D" w14:textId="2013551F" w:rsidR="00CC270F" w:rsidRPr="00F81AD7" w:rsidRDefault="00CC270F" w:rsidP="00CC270F">
      <w:pPr>
        <w:spacing w:beforeLines="50" w:before="156"/>
        <w:ind w:left="564" w:hangingChars="281" w:hanging="564"/>
        <w:rPr>
          <w:b/>
          <w:bCs/>
          <w:lang w:eastAsia="zh-CN"/>
        </w:rPr>
      </w:pPr>
      <w:r w:rsidRPr="00F81AD7">
        <w:rPr>
          <w:b/>
          <w:bCs/>
          <w:lang w:eastAsia="zh-CN"/>
        </w:rPr>
        <w:t>Proposal</w:t>
      </w:r>
      <w:r>
        <w:rPr>
          <w:b/>
          <w:bCs/>
          <w:lang w:eastAsia="zh-CN"/>
        </w:rPr>
        <w:t xml:space="preserve"> 2</w:t>
      </w:r>
      <w:r w:rsidRPr="00F81AD7">
        <w:rPr>
          <w:b/>
          <w:bCs/>
          <w:lang w:eastAsia="zh-CN"/>
        </w:rPr>
        <w:t xml:space="preserve">: UE can </w:t>
      </w:r>
      <w:r w:rsidR="00A63208">
        <w:rPr>
          <w:b/>
          <w:bCs/>
          <w:lang w:eastAsia="zh-CN"/>
        </w:rPr>
        <w:t>inform</w:t>
      </w:r>
      <w:r w:rsidRPr="00F81AD7">
        <w:rPr>
          <w:b/>
          <w:bCs/>
          <w:lang w:eastAsia="zh-CN"/>
        </w:rPr>
        <w:t xml:space="preserve"> RAN via RRC message that indicated SRB is not configured and request RRC Reconfiguration for suitable QoE configuration.</w:t>
      </w:r>
    </w:p>
    <w:p w14:paraId="77EFFEB7" w14:textId="77FE4A5B" w:rsidR="00CC270F" w:rsidRPr="00AE0133" w:rsidRDefault="00CC270F" w:rsidP="00CC270F">
      <w:pPr>
        <w:spacing w:beforeLines="50" w:before="156"/>
        <w:ind w:left="564" w:hangingChars="281" w:hanging="564"/>
        <w:rPr>
          <w:b/>
          <w:bCs/>
          <w:lang w:eastAsia="zh-CN"/>
        </w:rPr>
      </w:pPr>
      <w:r w:rsidRPr="00AE0133">
        <w:rPr>
          <w:rFonts w:hint="eastAsia"/>
          <w:b/>
          <w:bCs/>
          <w:lang w:eastAsia="zh-CN"/>
        </w:rPr>
        <w:t>Proposal</w:t>
      </w:r>
      <w:r>
        <w:rPr>
          <w:b/>
          <w:bCs/>
          <w:lang w:eastAsia="zh-CN"/>
        </w:rPr>
        <w:t xml:space="preserve"> 3</w:t>
      </w:r>
      <w:r w:rsidRPr="00AE0133">
        <w:rPr>
          <w:rFonts w:hint="eastAsia"/>
          <w:b/>
          <w:bCs/>
          <w:lang w:eastAsia="zh-CN"/>
        </w:rPr>
        <w:t>: RAN2 to wait for RAN3's conclusion on whether the SN-configured QoE/RVQoE configuration information can be passed to the MN</w:t>
      </w:r>
      <w:r w:rsidR="00DE0AA2">
        <w:rPr>
          <w:b/>
          <w:bCs/>
          <w:lang w:eastAsia="zh-CN"/>
        </w:rPr>
        <w:t xml:space="preserve"> </w:t>
      </w:r>
      <w:r w:rsidR="00DE0AA2">
        <w:rPr>
          <w:rFonts w:hint="eastAsia"/>
          <w:b/>
          <w:bCs/>
          <w:lang w:eastAsia="zh-CN"/>
        </w:rPr>
        <w:t>when</w:t>
      </w:r>
      <w:r w:rsidR="00DE0AA2">
        <w:rPr>
          <w:b/>
          <w:bCs/>
          <w:lang w:eastAsia="zh-CN"/>
        </w:rPr>
        <w:t xml:space="preserve"> </w:t>
      </w:r>
      <w:r w:rsidR="00DE0AA2">
        <w:rPr>
          <w:rFonts w:hint="eastAsia"/>
          <w:b/>
          <w:bCs/>
          <w:lang w:eastAsia="zh-CN"/>
        </w:rPr>
        <w:t>SN</w:t>
      </w:r>
      <w:r w:rsidR="00DE0AA2">
        <w:rPr>
          <w:b/>
          <w:bCs/>
          <w:lang w:eastAsia="zh-CN"/>
        </w:rPr>
        <w:t xml:space="preserve"> </w:t>
      </w:r>
      <w:r w:rsidR="00DE0AA2">
        <w:rPr>
          <w:rFonts w:hint="eastAsia"/>
          <w:b/>
          <w:bCs/>
          <w:lang w:eastAsia="zh-CN"/>
        </w:rPr>
        <w:t>release</w:t>
      </w:r>
      <w:r w:rsidRPr="00AE0133">
        <w:rPr>
          <w:rFonts w:hint="eastAsia"/>
          <w:b/>
          <w:bCs/>
          <w:lang w:eastAsia="zh-CN"/>
        </w:rPr>
        <w:t>.</w:t>
      </w:r>
    </w:p>
    <w:p w14:paraId="602FE0C8" w14:textId="16A1A8EC" w:rsidR="00CC270F" w:rsidRPr="00CC270F" w:rsidRDefault="00CC270F" w:rsidP="00CC270F">
      <w:pPr>
        <w:spacing w:beforeLines="50" w:before="156"/>
        <w:ind w:left="564" w:hangingChars="281" w:hanging="564"/>
        <w:rPr>
          <w:b/>
          <w:bCs/>
          <w:lang w:eastAsia="zh-CN"/>
        </w:rPr>
      </w:pPr>
      <w:r w:rsidRPr="00CC270F">
        <w:rPr>
          <w:rFonts w:hint="eastAsia"/>
          <w:b/>
          <w:bCs/>
          <w:lang w:eastAsia="zh-CN"/>
        </w:rPr>
        <w:t>Proposal</w:t>
      </w:r>
      <w:r>
        <w:rPr>
          <w:b/>
          <w:bCs/>
          <w:lang w:eastAsia="zh-CN"/>
        </w:rPr>
        <w:t xml:space="preserve"> 4</w:t>
      </w:r>
      <w:r w:rsidRPr="00CC270F">
        <w:rPr>
          <w:rFonts w:hint="eastAsia"/>
          <w:b/>
          <w:bCs/>
          <w:lang w:eastAsia="zh-CN"/>
        </w:rPr>
        <w:t>: If QoE configuration is send directly to SN</w:t>
      </w:r>
      <w:r w:rsidR="000E62F1">
        <w:rPr>
          <w:rFonts w:hint="eastAsia"/>
          <w:b/>
          <w:bCs/>
          <w:lang w:eastAsia="zh-CN"/>
        </w:rPr>
        <w:t>,</w:t>
      </w:r>
      <w:r w:rsidR="000E62F1">
        <w:rPr>
          <w:b/>
          <w:bCs/>
          <w:lang w:eastAsia="zh-CN"/>
        </w:rPr>
        <w:t xml:space="preserve"> </w:t>
      </w:r>
      <w:r w:rsidRPr="00CC270F">
        <w:rPr>
          <w:rFonts w:hint="eastAsia"/>
          <w:b/>
          <w:bCs/>
          <w:lang w:eastAsia="zh-CN"/>
        </w:rPr>
        <w:t>SN can send QoE Reference</w:t>
      </w:r>
      <w:r w:rsidR="000E62F1">
        <w:rPr>
          <w:rFonts w:hint="eastAsia"/>
          <w:b/>
          <w:bCs/>
          <w:lang w:eastAsia="zh-CN"/>
        </w:rPr>
        <w:t>,</w:t>
      </w:r>
      <w:r w:rsidR="000E62F1">
        <w:rPr>
          <w:b/>
          <w:bCs/>
          <w:lang w:eastAsia="zh-CN"/>
        </w:rPr>
        <w:t xml:space="preserve"> </w:t>
      </w:r>
      <w:r w:rsidRPr="00CC270F">
        <w:rPr>
          <w:rFonts w:hint="eastAsia"/>
          <w:b/>
          <w:bCs/>
          <w:lang w:eastAsia="zh-CN"/>
        </w:rPr>
        <w:t>MCE IP address and RRC ID to MN</w:t>
      </w:r>
      <w:r w:rsidR="000E62F1">
        <w:rPr>
          <w:rFonts w:hint="eastAsia"/>
          <w:b/>
          <w:bCs/>
          <w:lang w:eastAsia="zh-CN"/>
        </w:rPr>
        <w:t>.</w:t>
      </w:r>
    </w:p>
    <w:p w14:paraId="205F7787" w14:textId="77777777" w:rsidR="00CD4C7B" w:rsidRPr="006E13D1" w:rsidRDefault="00CD4C7B" w:rsidP="00CD4C7B">
      <w:pPr>
        <w:pStyle w:val="1"/>
      </w:pPr>
      <w:r w:rsidRPr="006E13D1">
        <w:t>References</w:t>
      </w:r>
    </w:p>
    <w:p w14:paraId="09CE73BF" w14:textId="43738B2F" w:rsidR="0076606E" w:rsidRDefault="00C45E03" w:rsidP="003C0902">
      <w:pPr>
        <w:pStyle w:val="a8"/>
        <w:numPr>
          <w:ilvl w:val="0"/>
          <w:numId w:val="9"/>
        </w:numPr>
        <w:overflowPunct w:val="0"/>
        <w:autoSpaceDE w:val="0"/>
        <w:autoSpaceDN w:val="0"/>
        <w:adjustRightInd w:val="0"/>
        <w:textAlignment w:val="baseline"/>
        <w:rPr>
          <w:lang w:eastAsia="zh-CN"/>
        </w:rPr>
      </w:pPr>
      <w:r w:rsidRPr="00C45E03">
        <w:rPr>
          <w:lang w:eastAsia="zh-CN"/>
        </w:rPr>
        <w:t>R2-2306542, Report on LTE legacy, XR, QoE and MUSIM, Vice Chairman (Nokia)</w:t>
      </w:r>
    </w:p>
    <w:p w14:paraId="4FE8DDF5" w14:textId="024AD83E" w:rsidR="00FC4295" w:rsidRPr="00406CD2" w:rsidRDefault="00C45E03" w:rsidP="003C0902">
      <w:pPr>
        <w:pStyle w:val="a8"/>
        <w:numPr>
          <w:ilvl w:val="0"/>
          <w:numId w:val="9"/>
        </w:numPr>
        <w:overflowPunct w:val="0"/>
        <w:autoSpaceDE w:val="0"/>
        <w:autoSpaceDN w:val="0"/>
        <w:adjustRightInd w:val="0"/>
        <w:textAlignment w:val="baseline"/>
        <w:rPr>
          <w:lang w:eastAsia="zh-CN"/>
        </w:rPr>
      </w:pPr>
      <w:r w:rsidRPr="00C45E03">
        <w:rPr>
          <w:lang w:eastAsia="zh-CN"/>
        </w:rPr>
        <w:t>RAN3_120_agenda_20230530_EOM1.</w:t>
      </w:r>
    </w:p>
    <w:sectPr w:rsidR="00FC4295"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ECFF6" w14:textId="77777777" w:rsidR="003D774B" w:rsidRDefault="003D774B">
      <w:r>
        <w:separator/>
      </w:r>
    </w:p>
  </w:endnote>
  <w:endnote w:type="continuationSeparator" w:id="0">
    <w:p w14:paraId="20755717" w14:textId="77777777" w:rsidR="003D774B" w:rsidRDefault="003D774B">
      <w:r>
        <w:continuationSeparator/>
      </w:r>
    </w:p>
  </w:endnote>
  <w:endnote w:type="continuationNotice" w:id="1">
    <w:p w14:paraId="5EBBBC54" w14:textId="77777777" w:rsidR="003D774B" w:rsidRDefault="003D7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DA89" w14:textId="77777777" w:rsidR="003D774B" w:rsidRDefault="003D774B">
      <w:r>
        <w:separator/>
      </w:r>
    </w:p>
  </w:footnote>
  <w:footnote w:type="continuationSeparator" w:id="0">
    <w:p w14:paraId="3B87B43E" w14:textId="77777777" w:rsidR="003D774B" w:rsidRDefault="003D774B">
      <w:r>
        <w:continuationSeparator/>
      </w:r>
    </w:p>
  </w:footnote>
  <w:footnote w:type="continuationNotice" w:id="1">
    <w:p w14:paraId="76D6D378" w14:textId="77777777" w:rsidR="003D774B" w:rsidRDefault="003D77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A1280"/>
    <w:multiLevelType w:val="multilevel"/>
    <w:tmpl w:val="E3AAB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0"/>
  </w:num>
  <w:num w:numId="2" w16cid:durableId="2041120936">
    <w:abstractNumId w:val="7"/>
  </w:num>
  <w:num w:numId="3" w16cid:durableId="432284578">
    <w:abstractNumId w:val="5"/>
  </w:num>
  <w:num w:numId="4" w16cid:durableId="1474909734">
    <w:abstractNumId w:val="1"/>
  </w:num>
  <w:num w:numId="5" w16cid:durableId="1299185967">
    <w:abstractNumId w:val="11"/>
  </w:num>
  <w:num w:numId="6" w16cid:durableId="1620526602">
    <w:abstractNumId w:val="8"/>
  </w:num>
  <w:num w:numId="7" w16cid:durableId="2142572016">
    <w:abstractNumId w:val="9"/>
  </w:num>
  <w:num w:numId="8" w16cid:durableId="733164140">
    <w:abstractNumId w:val="0"/>
  </w:num>
  <w:num w:numId="9" w16cid:durableId="1780490402">
    <w:abstractNumId w:val="6"/>
  </w:num>
  <w:num w:numId="10" w16cid:durableId="1656836945">
    <w:abstractNumId w:val="3"/>
  </w:num>
  <w:num w:numId="11" w16cid:durableId="562764388">
    <w:abstractNumId w:val="10"/>
  </w:num>
  <w:num w:numId="12" w16cid:durableId="1125974823">
    <w:abstractNumId w:val="4"/>
  </w:num>
  <w:num w:numId="13" w16cid:durableId="797574709">
    <w:abstractNumId w:val="10"/>
  </w:num>
  <w:num w:numId="14" w16cid:durableId="1750302622">
    <w:abstractNumId w:val="10"/>
  </w:num>
  <w:num w:numId="15" w16cid:durableId="170389410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AD5"/>
    <w:rsid w:val="00014CEF"/>
    <w:rsid w:val="00015563"/>
    <w:rsid w:val="00017465"/>
    <w:rsid w:val="00020144"/>
    <w:rsid w:val="0002219B"/>
    <w:rsid w:val="000225EC"/>
    <w:rsid w:val="000234FC"/>
    <w:rsid w:val="00023715"/>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1B7F"/>
    <w:rsid w:val="000C21AD"/>
    <w:rsid w:val="000C250A"/>
    <w:rsid w:val="000C30DF"/>
    <w:rsid w:val="000C3205"/>
    <w:rsid w:val="000C3CC5"/>
    <w:rsid w:val="000C44E9"/>
    <w:rsid w:val="000C49AB"/>
    <w:rsid w:val="000C522B"/>
    <w:rsid w:val="000C530F"/>
    <w:rsid w:val="000C57AE"/>
    <w:rsid w:val="000C6090"/>
    <w:rsid w:val="000C6A83"/>
    <w:rsid w:val="000C7D5D"/>
    <w:rsid w:val="000D28BB"/>
    <w:rsid w:val="000D2BF3"/>
    <w:rsid w:val="000D387A"/>
    <w:rsid w:val="000D3BA3"/>
    <w:rsid w:val="000D403F"/>
    <w:rsid w:val="000D4BA5"/>
    <w:rsid w:val="000D58AB"/>
    <w:rsid w:val="000D5904"/>
    <w:rsid w:val="000D5969"/>
    <w:rsid w:val="000D5E9B"/>
    <w:rsid w:val="000D5EA8"/>
    <w:rsid w:val="000D6063"/>
    <w:rsid w:val="000D6BE4"/>
    <w:rsid w:val="000E2843"/>
    <w:rsid w:val="000E3041"/>
    <w:rsid w:val="000E35CE"/>
    <w:rsid w:val="000E4119"/>
    <w:rsid w:val="000E433C"/>
    <w:rsid w:val="000E5B5C"/>
    <w:rsid w:val="000E62F1"/>
    <w:rsid w:val="000E6382"/>
    <w:rsid w:val="000E6B9D"/>
    <w:rsid w:val="000E745A"/>
    <w:rsid w:val="000F0EBE"/>
    <w:rsid w:val="000F1BA8"/>
    <w:rsid w:val="000F2BCB"/>
    <w:rsid w:val="000F4747"/>
    <w:rsid w:val="000F4B76"/>
    <w:rsid w:val="000F68E5"/>
    <w:rsid w:val="000F77A1"/>
    <w:rsid w:val="000F79E2"/>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AD4"/>
    <w:rsid w:val="00267141"/>
    <w:rsid w:val="00267723"/>
    <w:rsid w:val="002724AE"/>
    <w:rsid w:val="00272C8E"/>
    <w:rsid w:val="00273120"/>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4F94"/>
    <w:rsid w:val="00336146"/>
    <w:rsid w:val="00336433"/>
    <w:rsid w:val="003366F8"/>
    <w:rsid w:val="00337547"/>
    <w:rsid w:val="0033778E"/>
    <w:rsid w:val="00337C8F"/>
    <w:rsid w:val="00340293"/>
    <w:rsid w:val="00340312"/>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4EDB"/>
    <w:rsid w:val="003757B7"/>
    <w:rsid w:val="0037787D"/>
    <w:rsid w:val="003803CA"/>
    <w:rsid w:val="0038079F"/>
    <w:rsid w:val="00380A4A"/>
    <w:rsid w:val="00380BFB"/>
    <w:rsid w:val="0038223F"/>
    <w:rsid w:val="00382AC9"/>
    <w:rsid w:val="00382F1A"/>
    <w:rsid w:val="003839A9"/>
    <w:rsid w:val="00384FC9"/>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D774B"/>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2A2"/>
    <w:rsid w:val="0044530C"/>
    <w:rsid w:val="00445420"/>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2CFC"/>
    <w:rsid w:val="004B37FD"/>
    <w:rsid w:val="004B40D9"/>
    <w:rsid w:val="004B44A7"/>
    <w:rsid w:val="004B53E0"/>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612C"/>
    <w:rsid w:val="004E6678"/>
    <w:rsid w:val="004E7988"/>
    <w:rsid w:val="004E7DA9"/>
    <w:rsid w:val="004F0B91"/>
    <w:rsid w:val="004F14E7"/>
    <w:rsid w:val="004F36E0"/>
    <w:rsid w:val="004F60E4"/>
    <w:rsid w:val="004F715E"/>
    <w:rsid w:val="004F7F9B"/>
    <w:rsid w:val="00500130"/>
    <w:rsid w:val="00500621"/>
    <w:rsid w:val="00500D11"/>
    <w:rsid w:val="00501465"/>
    <w:rsid w:val="00501538"/>
    <w:rsid w:val="0050168F"/>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87D1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4A04"/>
    <w:rsid w:val="005C528A"/>
    <w:rsid w:val="005C634D"/>
    <w:rsid w:val="005C63FA"/>
    <w:rsid w:val="005D0A29"/>
    <w:rsid w:val="005D13E2"/>
    <w:rsid w:val="005D1702"/>
    <w:rsid w:val="005D2697"/>
    <w:rsid w:val="005D273C"/>
    <w:rsid w:val="005D2EC4"/>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0CD"/>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656"/>
    <w:rsid w:val="00791E9A"/>
    <w:rsid w:val="0079289B"/>
    <w:rsid w:val="00792D0A"/>
    <w:rsid w:val="00792DBB"/>
    <w:rsid w:val="0079365A"/>
    <w:rsid w:val="00793F56"/>
    <w:rsid w:val="00795764"/>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24A"/>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2B60"/>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5B51"/>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476"/>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0903"/>
    <w:rsid w:val="00A0245E"/>
    <w:rsid w:val="00A036B7"/>
    <w:rsid w:val="00A04CF4"/>
    <w:rsid w:val="00A04D1F"/>
    <w:rsid w:val="00A052A4"/>
    <w:rsid w:val="00A06B9E"/>
    <w:rsid w:val="00A07490"/>
    <w:rsid w:val="00A07941"/>
    <w:rsid w:val="00A1053B"/>
    <w:rsid w:val="00A10F02"/>
    <w:rsid w:val="00A128E9"/>
    <w:rsid w:val="00A13034"/>
    <w:rsid w:val="00A14985"/>
    <w:rsid w:val="00A15F54"/>
    <w:rsid w:val="00A16442"/>
    <w:rsid w:val="00A16FFB"/>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208"/>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06D9"/>
    <w:rsid w:val="00A81612"/>
    <w:rsid w:val="00A822DB"/>
    <w:rsid w:val="00A82346"/>
    <w:rsid w:val="00A82401"/>
    <w:rsid w:val="00A8296F"/>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8A"/>
    <w:rsid w:val="00AD7EB7"/>
    <w:rsid w:val="00AE0133"/>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3AAF"/>
    <w:rsid w:val="00AF4538"/>
    <w:rsid w:val="00AF5DD2"/>
    <w:rsid w:val="00AF6889"/>
    <w:rsid w:val="00AF72B0"/>
    <w:rsid w:val="00AF77F1"/>
    <w:rsid w:val="00AF7987"/>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696C"/>
    <w:rsid w:val="00B77C41"/>
    <w:rsid w:val="00B77FD6"/>
    <w:rsid w:val="00B80525"/>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0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028"/>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70F"/>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2B86"/>
    <w:rsid w:val="00D64452"/>
    <w:rsid w:val="00D644EA"/>
    <w:rsid w:val="00D678B0"/>
    <w:rsid w:val="00D679C7"/>
    <w:rsid w:val="00D70B4E"/>
    <w:rsid w:val="00D7222F"/>
    <w:rsid w:val="00D729EE"/>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754"/>
    <w:rsid w:val="00DB1818"/>
    <w:rsid w:val="00DB182D"/>
    <w:rsid w:val="00DB20C0"/>
    <w:rsid w:val="00DB2A3C"/>
    <w:rsid w:val="00DB32FE"/>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AA2"/>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474F7"/>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21C8"/>
    <w:rsid w:val="00EA43F1"/>
    <w:rsid w:val="00EA5286"/>
    <w:rsid w:val="00EA545F"/>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1D9"/>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6E25"/>
    <w:rsid w:val="00F07388"/>
    <w:rsid w:val="00F07FD6"/>
    <w:rsid w:val="00F109EF"/>
    <w:rsid w:val="00F10C77"/>
    <w:rsid w:val="00F10F95"/>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74A"/>
    <w:rsid w:val="00F53AAD"/>
    <w:rsid w:val="00F53B29"/>
    <w:rsid w:val="00F53EAE"/>
    <w:rsid w:val="00F54A3D"/>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53F"/>
    <w:rsid w:val="00F75113"/>
    <w:rsid w:val="00F751CF"/>
    <w:rsid w:val="00F75703"/>
    <w:rsid w:val="00F75733"/>
    <w:rsid w:val="00F76194"/>
    <w:rsid w:val="00F765F4"/>
    <w:rsid w:val="00F768D5"/>
    <w:rsid w:val="00F76F8F"/>
    <w:rsid w:val="00F80C4B"/>
    <w:rsid w:val="00F812B5"/>
    <w:rsid w:val="00F8149E"/>
    <w:rsid w:val="00F8181F"/>
    <w:rsid w:val="00F81AD7"/>
    <w:rsid w:val="00F81B09"/>
    <w:rsid w:val="00F82152"/>
    <w:rsid w:val="00F82E41"/>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character" w:styleId="af3">
    <w:name w:val="Placeholder Text"/>
    <w:basedOn w:val="a0"/>
    <w:uiPriority w:val="99"/>
    <w:semiHidden/>
    <w:rsid w:val="00046E32"/>
    <w:rPr>
      <w:color w:val="808080"/>
    </w:rPr>
  </w:style>
  <w:style w:type="paragraph" w:styleId="af4">
    <w:name w:val="Normal (Web)"/>
    <w:basedOn w:val="a"/>
    <w:uiPriority w:val="99"/>
    <w:unhideWhenUsed/>
    <w:rsid w:val="00500621"/>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206215767">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637296763">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47999646">
      <w:bodyDiv w:val="1"/>
      <w:marLeft w:val="0"/>
      <w:marRight w:val="0"/>
      <w:marTop w:val="0"/>
      <w:marBottom w:val="0"/>
      <w:divBdr>
        <w:top w:val="none" w:sz="0" w:space="0" w:color="auto"/>
        <w:left w:val="none" w:sz="0" w:space="0" w:color="auto"/>
        <w:bottom w:val="none" w:sz="0" w:space="0" w:color="auto"/>
        <w:right w:val="none" w:sz="0" w:space="0" w:color="auto"/>
      </w:divBdr>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1987053305">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6261</TotalTime>
  <Pages>3</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5254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1444</cp:revision>
  <dcterms:created xsi:type="dcterms:W3CDTF">2022-07-29T03:01:00Z</dcterms:created>
  <dcterms:modified xsi:type="dcterms:W3CDTF">2023-08-11T08:32:00Z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